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center"/>
      </w:pPr>
      <w:r>
        <w:rPr>
          <w:rFonts w:ascii="Times New Roman" w:hAnsi="Times New Roman"/>
          <w:b/>
          <w:color w:val="003366"/>
          <w:sz w:val="32"/>
        </w:rPr>
        <w:t>THE DYNAMICS OF INSTITUTIONAL RESILIENCE AND DEMOCRATIC BACKSLIDING IN SOUTHEAST ASIA: A COMPARATIVE STUDY</w:t>
      </w:r>
    </w:p>
    <w:p>
      <w:pPr>
        <w:spacing w:after="360"/>
        <w:jc w:val="center"/>
      </w:pPr>
      <w:r>
        <w:rPr>
          <w:rFonts w:ascii="Times New Roman" w:hAnsi="Times New Roman"/>
          <w:i/>
          <w:color w:val="666666"/>
          <w:sz w:val="24"/>
        </w:rPr>
        <w:t>A Formal Manuscript Template for International Political Science Journals</w:t>
      </w:r>
    </w:p>
    <w:p>
      <w:pPr>
        <w:spacing w:after="80"/>
        <w:jc w:val="center"/>
      </w:pPr>
      <w:r>
        <w:rPr>
          <w:b/>
        </w:rPr>
        <w:t>First Author Name, Ph.D.</w:t>
      </w:r>
      <w:r>
        <w:t xml:space="preserve"> 1*, </w:t>
      </w:r>
      <w:r>
        <w:rPr>
          <w:b/>
        </w:rPr>
        <w:t>Second Author Name, M.A.</w:t>
      </w:r>
      <w:r>
        <w:t xml:space="preserve"> 2</w:t>
      </w:r>
    </w:p>
    <w:p>
      <w:pPr>
        <w:spacing w:after="360"/>
        <w:jc w:val="center"/>
      </w:pPr>
      <w:r>
        <w:rPr>
          <w:i/>
          <w:color w:val="505050"/>
          <w:sz w:val="19"/>
        </w:rPr>
        <w:t>1 Department of Political Science, Faculty of Social and Political Sciences, University Name, City, Country</w:t>
        <w:br/>
        <w:t>2 Department of Public Policy and Governance, Graduate School of International Relations, University Name, City, Country</w:t>
        <w:br/>
        <w:t>*Corresponding Author Email: author.email@university.edu</w:t>
      </w:r>
    </w:p>
    <w:tbl>
      <w:tblPr>
        <w:tblW w:type="auto" w:w="0"/>
        <w:jc w:val="center"/>
        <w:tblLayout w:type="fixed"/>
        <w:tblLook w:firstColumn="1" w:firstRow="1" w:lastColumn="0" w:lastRow="0" w:noHBand="0" w:noVBand="1" w:val="04A0"/>
      </w:tblPr>
      <w:tblGrid>
        <w:gridCol w:w="9360"/>
      </w:tblGrid>
      <w:tr>
        <w:tc>
          <w:tcPr>
            <w:tcW w:type="dxa" w:w="9360"/>
            <w:shd w:fill="F4F5F7"/>
            <w:tcMar>
              <w:top w:w="140" w:type="dxa"/>
              <w:bottom w:w="140" w:type="dxa"/>
              <w:left w:w="200" w:type="dxa"/>
              <w:right w:w="200" w:type="dxa"/>
            </w:tcMar>
            <w:tcBorders>
              <w:top w:val="none"/>
              <w:left w:val="single" w:sz="24" w:space="0" w:color="003366"/>
              <w:bottom w:val="none"/>
              <w:right w:val="none"/>
            </w:tcBorders>
          </w:tcPr>
          <w:p>
            <w:pPr>
              <w:spacing w:before="80" w:after="80" w:line="276" w:lineRule="auto"/>
            </w:pPr>
            <w:r>
              <w:rPr>
                <w:rFonts w:ascii="Times New Roman" w:hAnsi="Times New Roman"/>
                <w:b/>
                <w:i/>
                <w:color w:val="003366"/>
                <w:sz w:val="20"/>
              </w:rPr>
              <w:t xml:space="preserve">ABSTRACT — </w:t>
            </w:r>
            <w:r>
              <w:rPr>
                <w:rFonts w:ascii="Times New Roman" w:hAnsi="Times New Roman"/>
                <w:i/>
                <w:color w:val="333333"/>
                <w:sz w:val="20"/>
              </w:rPr>
              <w:t>This manuscript template provides a standardized structural framework designed for submissions to high-impact international political science journals. The abstract should present a concise summary of the article (150–250 words). It must explicitly detail: (1) the core theoretical puzzle or research context, (2) the primary research question, (3) the analytical framework or methodological approach applied, (4) key empirical findings, and (5) the broader theoretical contribution to contemporary political science debates. Authors should avoid citing literature or using complex mathematical notations in this section.</w:t>
            </w:r>
          </w:p>
        </w:tc>
      </w:tr>
    </w:tbl>
    <w:p>
      <w:pPr>
        <w:spacing w:before="0" w:after="120"/>
      </w:pPr>
    </w:p>
    <w:p>
      <w:pPr>
        <w:spacing w:after="480"/>
      </w:pPr>
      <w:r>
        <w:rPr>
          <w:b/>
          <w:sz w:val="20"/>
        </w:rPr>
        <w:t xml:space="preserve">Keywords: </w:t>
      </w:r>
      <w:r>
        <w:rPr>
          <w:i/>
          <w:sz w:val="20"/>
        </w:rPr>
        <w:t>Democratic Backsliding, Institutional Resilience, Comparative Politics, Executive Aggrandizement, Southeast Asia</w:t>
      </w:r>
    </w:p>
    <w:p>
      <w:pPr>
        <w:keepNext/>
        <w:spacing w:before="320" w:after="120"/>
      </w:pPr>
      <w:r>
        <w:rPr>
          <w:rFonts w:ascii="Times New Roman" w:hAnsi="Times New Roman"/>
          <w:b/>
          <w:color w:val="003366"/>
          <w:sz w:val="26"/>
        </w:rPr>
        <w:t>1. INTRODUCTION</w:t>
      </w:r>
    </w:p>
    <w:p>
      <w:pPr>
        <w:spacing w:before="0" w:after="120" w:line="276" w:lineRule="auto"/>
      </w:pPr>
      <w:r>
        <w:rPr>
          <w:rFonts w:ascii="Times New Roman" w:hAnsi="Times New Roman"/>
          <w:sz w:val="22"/>
        </w:rPr>
        <w:t>The theoretical study of democratic stability and institutional decay has re-emerged as a central axis of contemporary political science scholarship. While late-twentieth-century literature predominantly emphasized transitions from authoritarian regimes toward consolidation, recent empirical realities demonstrate a nuanced phenomenon: executive aggrandizement through constitutional mechanisms. In this section, authors must introduce the overarching political phenomenon, clearly stating the empirical puzzle that drives the investigation.</w:t>
      </w:r>
    </w:p>
    <w:p>
      <w:pPr>
        <w:spacing w:before="0" w:after="120" w:line="276" w:lineRule="auto"/>
        <w:ind w:firstLine="360"/>
      </w:pPr>
      <w:r>
        <w:rPr>
          <w:rFonts w:ascii="Times New Roman" w:hAnsi="Times New Roman"/>
          <w:sz w:val="22"/>
        </w:rPr>
        <w:t>Despite extensive scholarship examining democratic backsliding across Eastern Europe and Latin America, significant literature gaps remain concerning how sub-regional institutional variation in Southeast Asia conditions electoral integrity and judicial independence. Specifically, existing research often treats regime erosion as a uniform process, neglecting the strategic choices of domestic veto players under varying constitutional constraints.</w:t>
      </w:r>
    </w:p>
    <w:p>
      <w:pPr>
        <w:spacing w:before="0" w:after="120" w:line="276" w:lineRule="auto"/>
        <w:ind w:firstLine="360"/>
      </w:pPr>
      <w:r>
        <w:rPr>
          <w:rFonts w:ascii="Times New Roman" w:hAnsi="Times New Roman"/>
          <w:sz w:val="22"/>
        </w:rPr>
        <w:t>To address this lacuna, this study poses the following central research question: How do constitutional safeguards interact with informal political coalitions to determine the durability of democratic institutions during periods of severe executive encroachment?</w:t>
      </w:r>
    </w:p>
    <w:p>
      <w:pPr>
        <w:spacing w:before="0" w:after="120" w:line="276" w:lineRule="auto"/>
        <w:ind w:firstLine="360"/>
      </w:pPr>
      <w:r>
        <w:rPr>
          <w:rFonts w:ascii="Times New Roman" w:hAnsi="Times New Roman"/>
          <w:sz w:val="22"/>
        </w:rPr>
        <w:t>We argue that formal political institutions retain functional resilience only when supported by coherent civil society networks and independent judicial elites. The primary contributions of this paper are threefold: first, it refines institutional resilience theory by integrating informal alliance metrics; second, it provides original empirical evidence from longitudinal case evaluations; and third, it advances analytical methodologies for comparative regime studies.</w:t>
      </w:r>
    </w:p>
    <w:p>
      <w:pPr>
        <w:keepNext/>
        <w:spacing w:before="320" w:after="120"/>
      </w:pPr>
      <w:r>
        <w:rPr>
          <w:rFonts w:ascii="Times New Roman" w:hAnsi="Times New Roman"/>
          <w:b/>
          <w:color w:val="003366"/>
          <w:sz w:val="26"/>
        </w:rPr>
        <w:t>2. THEORETICAL FRAMEWORK AND HYPOTHESES</w:t>
      </w:r>
    </w:p>
    <w:p>
      <w:pPr>
        <w:spacing w:before="0" w:after="120" w:line="276" w:lineRule="auto"/>
      </w:pPr>
      <w:r>
        <w:rPr>
          <w:rFonts w:ascii="Times New Roman" w:hAnsi="Times New Roman"/>
          <w:sz w:val="22"/>
        </w:rPr>
        <w:t>Political science analysis requires rigorous conceptualization and clear structural logic. This section establishes the theoretical architecture grounding the study, mapping key relationships between independent, mediating, and dependent variables.</w:t>
      </w:r>
    </w:p>
    <w:p>
      <w:pPr>
        <w:keepNext/>
        <w:spacing w:before="240" w:after="80"/>
      </w:pPr>
      <w:r>
        <w:rPr>
          <w:rFonts w:ascii="Times New Roman" w:hAnsi="Times New Roman"/>
          <w:b/>
          <w:color w:val="333333"/>
          <w:sz w:val="23"/>
        </w:rPr>
        <w:t>2.1. Institutional Resilience and Executive Aggrandizement</w:t>
      </w:r>
    </w:p>
    <w:p>
      <w:pPr>
        <w:spacing w:before="0" w:after="120" w:line="276" w:lineRule="auto"/>
        <w:ind w:firstLine="360"/>
      </w:pPr>
      <w:r>
        <w:rPr>
          <w:rFonts w:ascii="Times New Roman" w:hAnsi="Times New Roman"/>
          <w:sz w:val="22"/>
        </w:rPr>
        <w:t>Following recent comparative politics literature (e.g., Levitsky &amp; Ziblatt, 2018; Bermeo, 2016), we define executive aggrandizement as a process whereby elected executives dismantle democratic checks through legal and constitutional mechanisms rather than overt military interventions. Institutional resilience, conversely, denotes the capacity of oversight bodies—such as constitutional courts, electoral commissions, and parliamentary committees—to neutralize unauthorized executive expansion.</w:t>
      </w:r>
    </w:p>
    <w:p>
      <w:pPr>
        <w:keepNext/>
        <w:spacing w:before="240" w:after="80"/>
      </w:pPr>
      <w:r>
        <w:rPr>
          <w:rFonts w:ascii="Times New Roman" w:hAnsi="Times New Roman"/>
          <w:b/>
          <w:color w:val="333333"/>
          <w:sz w:val="23"/>
        </w:rPr>
        <w:t>2.2. Hypotheses Formulation</w:t>
      </w:r>
    </w:p>
    <w:p>
      <w:pPr>
        <w:spacing w:before="0" w:after="120" w:line="276" w:lineRule="auto"/>
      </w:pPr>
      <w:r>
        <w:rPr>
          <w:rFonts w:ascii="Times New Roman" w:hAnsi="Times New Roman"/>
          <w:sz w:val="22"/>
        </w:rPr>
        <w:t>Based on theoretical assumptions surrounding institutional friction and elite bargaining power, we formulate the following testable propositions for empirical examination:</w:t>
      </w:r>
    </w:p>
    <w:p>
      <w:pPr>
        <w:spacing w:after="80"/>
        <w:ind w:left="360"/>
      </w:pPr>
      <w:r>
        <w:rPr>
          <w:b/>
        </w:rPr>
        <w:t xml:space="preserve">Hypothesis 1 (H1): </w:t>
      </w:r>
      <w:r>
        <w:t>Higher degrees of constitutional court independence are positively correlated with institutional survival against illegal executive decrees.</w:t>
      </w:r>
    </w:p>
    <w:p>
      <w:pPr>
        <w:spacing w:after="160"/>
        <w:ind w:left="360"/>
      </w:pPr>
      <w:r>
        <w:rPr>
          <w:b/>
        </w:rPr>
        <w:t xml:space="preserve">Hypothesis 2 (H2): </w:t>
      </w:r>
      <w:r>
        <w:t>The presence of cohesive civil society coalitions mitigates executive efforts to censor media institutions during election cycles.</w:t>
      </w:r>
    </w:p>
    <w:p>
      <w:pPr>
        <w:keepNext/>
        <w:spacing w:before="320" w:after="120"/>
      </w:pPr>
      <w:r>
        <w:rPr>
          <w:rFonts w:ascii="Times New Roman" w:hAnsi="Times New Roman"/>
          <w:b/>
          <w:color w:val="003366"/>
          <w:sz w:val="26"/>
        </w:rPr>
        <w:t>3. RESEARCH METHODOLOGY</w:t>
      </w:r>
    </w:p>
    <w:p>
      <w:pPr>
        <w:spacing w:before="0" w:after="120" w:line="276" w:lineRule="auto"/>
      </w:pPr>
      <w:r>
        <w:rPr>
          <w:rFonts w:ascii="Times New Roman" w:hAnsi="Times New Roman"/>
          <w:sz w:val="22"/>
        </w:rPr>
        <w:t>A transparent and repeatable methodology is essential for political science manuscripts. This section details the research design, case selection rationales, data collection procedures, and operationalization of variables.</w:t>
      </w:r>
    </w:p>
    <w:p>
      <w:pPr>
        <w:keepNext/>
        <w:spacing w:before="240" w:after="80"/>
      </w:pPr>
      <w:r>
        <w:rPr>
          <w:rFonts w:ascii="Times New Roman" w:hAnsi="Times New Roman"/>
          <w:b/>
          <w:color w:val="333333"/>
          <w:sz w:val="23"/>
        </w:rPr>
        <w:t>3.1. Research Design and Case Selection</w:t>
      </w:r>
    </w:p>
    <w:p>
      <w:pPr>
        <w:spacing w:before="0" w:after="120" w:line="276" w:lineRule="auto"/>
        <w:ind w:firstLine="360"/>
      </w:pPr>
      <w:r>
        <w:rPr>
          <w:rFonts w:ascii="Times New Roman" w:hAnsi="Times New Roman"/>
          <w:sz w:val="22"/>
        </w:rPr>
        <w:t>This study employs a comparative historical analysis utilizing Most Similar Systems Design (MSSD). By holding regional macro-variables constant across targeted Southeast Asian polities, the framework isolates internal institutional mechanisms responsible for divergent democratic outcomes.</w:t>
      </w:r>
    </w:p>
    <w:p>
      <w:pPr>
        <w:keepNext/>
        <w:spacing w:before="240" w:after="80"/>
      </w:pPr>
      <w:r>
        <w:rPr>
          <w:rFonts w:ascii="Times New Roman" w:hAnsi="Times New Roman"/>
          <w:b/>
          <w:color w:val="333333"/>
          <w:sz w:val="23"/>
        </w:rPr>
        <w:t>3.2. Data Collection and Variable Operationalization</w:t>
      </w:r>
    </w:p>
    <w:p>
      <w:pPr>
        <w:spacing w:before="0" w:after="120" w:line="276" w:lineRule="auto"/>
      </w:pPr>
      <w:r>
        <w:rPr>
          <w:rFonts w:ascii="Times New Roman" w:hAnsi="Times New Roman"/>
          <w:sz w:val="22"/>
        </w:rPr>
        <w:t>Data were gathered from a multi-methodological inventory comprising elite semi-structured interviews (n = 42), official legal statutes, parliamentary voting records, and standardized indicators from international repositories (e.g., V-Dem Institute, Freedom House).</w:t>
      </w:r>
    </w:p>
    <w:p>
      <w:pPr>
        <w:spacing w:before="160" w:after="80"/>
      </w:pPr>
      <w:r>
        <w:rPr>
          <w:b/>
          <w:color w:val="003366"/>
          <w:sz w:val="20"/>
        </w:rPr>
        <w:t>Table 1. Operationalization of Main Analytical Variables</w:t>
      </w:r>
    </w:p>
    <w:tbl>
      <w:tblPr>
        <w:tblW w:type="auto" w:w="0"/>
        <w:jc w:val="center"/>
        <w:tblLayout w:type="fixed"/>
        <w:tblLook w:firstColumn="1" w:firstRow="1" w:lastColumn="0" w:lastRow="0" w:noHBand="0" w:noVBand="1" w:val="04A0"/>
      </w:tblPr>
      <w:tblGrid>
        <w:gridCol w:w="2340"/>
        <w:gridCol w:w="2340"/>
        <w:gridCol w:w="2340"/>
        <w:gridCol w:w="2340"/>
      </w:tblGrid>
      <w:tr>
        <w:tc>
          <w:tcPr>
            <w:tcW w:type="dxa" w:w="2340"/>
            <w:shd w:fill="003366"/>
            <w:tcMar>
              <w:top w:w="80" w:type="dxa"/>
              <w:bottom w:w="80" w:type="dxa"/>
              <w:left w:w="100" w:type="dxa"/>
              <w:right w:w="100" w:type="dxa"/>
            </w:tcMar>
          </w:tcPr>
          <w:p>
            <w:pPr>
              <w:jc w:val="center"/>
            </w:pPr>
            <w:r>
              <w:rPr>
                <w:b/>
                <w:color w:val="FFFFFF"/>
                <w:sz w:val="19"/>
              </w:rPr>
              <w:t>Variable Category</w:t>
            </w:r>
          </w:p>
        </w:tc>
        <w:tc>
          <w:tcPr>
            <w:tcW w:type="dxa" w:w="2340"/>
            <w:shd w:fill="003366"/>
            <w:tcMar>
              <w:top w:w="80" w:type="dxa"/>
              <w:bottom w:w="80" w:type="dxa"/>
              <w:left w:w="100" w:type="dxa"/>
              <w:right w:w="100" w:type="dxa"/>
            </w:tcMar>
          </w:tcPr>
          <w:p>
            <w:pPr>
              <w:jc w:val="center"/>
            </w:pPr>
            <w:r>
              <w:rPr>
                <w:b/>
                <w:color w:val="FFFFFF"/>
                <w:sz w:val="19"/>
              </w:rPr>
              <w:t>Variable Name</w:t>
            </w:r>
          </w:p>
        </w:tc>
        <w:tc>
          <w:tcPr>
            <w:tcW w:type="dxa" w:w="2340"/>
            <w:shd w:fill="003366"/>
            <w:tcMar>
              <w:top w:w="80" w:type="dxa"/>
              <w:bottom w:w="80" w:type="dxa"/>
              <w:left w:w="100" w:type="dxa"/>
              <w:right w:w="100" w:type="dxa"/>
            </w:tcMar>
          </w:tcPr>
          <w:p>
            <w:pPr>
              <w:jc w:val="center"/>
            </w:pPr>
            <w:r>
              <w:rPr>
                <w:b/>
                <w:color w:val="FFFFFF"/>
                <w:sz w:val="19"/>
              </w:rPr>
              <w:t>Measurement / Metric</w:t>
            </w:r>
          </w:p>
        </w:tc>
        <w:tc>
          <w:tcPr>
            <w:tcW w:type="dxa" w:w="2340"/>
            <w:shd w:fill="003366"/>
            <w:tcMar>
              <w:top w:w="80" w:type="dxa"/>
              <w:bottom w:w="80" w:type="dxa"/>
              <w:left w:w="100" w:type="dxa"/>
              <w:right w:w="100" w:type="dxa"/>
            </w:tcMar>
          </w:tcPr>
          <w:p>
            <w:pPr>
              <w:jc w:val="center"/>
            </w:pPr>
            <w:r>
              <w:rPr>
                <w:b/>
                <w:color w:val="FFFFFF"/>
                <w:sz w:val="19"/>
              </w:rPr>
              <w:t>Primary Data Source</w:t>
            </w:r>
          </w:p>
        </w:tc>
      </w:tr>
      <w:tr>
        <w:tc>
          <w:tcPr>
            <w:tcW w:type="dxa" w:w="2340"/>
            <w:shd w:fill="F9FAFB"/>
            <w:tcMar>
              <w:top w:w="80" w:type="dxa"/>
              <w:bottom w:w="80" w:type="dxa"/>
              <w:left w:w="100" w:type="dxa"/>
              <w:right w:w="100" w:type="dxa"/>
            </w:tcMar>
          </w:tcPr>
          <w:p>
            <w:pPr>
              <w:spacing w:before="80" w:after="80"/>
            </w:pPr>
            <w:r>
              <w:rPr>
                <w:rFonts w:ascii="Times New Roman" w:hAnsi="Times New Roman"/>
                <w:sz w:val="18"/>
              </w:rPr>
              <w:t>Dependent (DV)</w:t>
            </w:r>
          </w:p>
        </w:tc>
        <w:tc>
          <w:tcPr>
            <w:tcW w:type="dxa" w:w="2340"/>
            <w:shd w:fill="F9FAFB"/>
            <w:tcMar>
              <w:top w:w="80" w:type="dxa"/>
              <w:bottom w:w="80" w:type="dxa"/>
              <w:left w:w="100" w:type="dxa"/>
              <w:right w:w="100" w:type="dxa"/>
            </w:tcMar>
          </w:tcPr>
          <w:p>
            <w:pPr>
              <w:spacing w:before="80" w:after="80"/>
            </w:pPr>
            <w:r>
              <w:rPr>
                <w:rFonts w:ascii="Times New Roman" w:hAnsi="Times New Roman"/>
                <w:sz w:val="18"/>
              </w:rPr>
              <w:t>Institutional Resilience Index</w:t>
            </w:r>
          </w:p>
        </w:tc>
        <w:tc>
          <w:tcPr>
            <w:tcW w:type="dxa" w:w="2340"/>
            <w:shd w:fill="F9FAFB"/>
            <w:tcMar>
              <w:top w:w="80" w:type="dxa"/>
              <w:bottom w:w="80" w:type="dxa"/>
              <w:left w:w="100" w:type="dxa"/>
              <w:right w:w="100" w:type="dxa"/>
            </w:tcMar>
          </w:tcPr>
          <w:p>
            <w:pPr>
              <w:spacing w:before="80" w:after="80"/>
            </w:pPr>
            <w:r>
              <w:rPr>
                <w:rFonts w:ascii="Times New Roman" w:hAnsi="Times New Roman"/>
                <w:sz w:val="18"/>
              </w:rPr>
              <w:t>Composite score (0–10 scale) measuring judicial veto efficacy</w:t>
            </w:r>
          </w:p>
        </w:tc>
        <w:tc>
          <w:tcPr>
            <w:tcW w:type="dxa" w:w="2340"/>
            <w:shd w:fill="F9FAFB"/>
            <w:tcMar>
              <w:top w:w="80" w:type="dxa"/>
              <w:bottom w:w="80" w:type="dxa"/>
              <w:left w:w="100" w:type="dxa"/>
              <w:right w:w="100" w:type="dxa"/>
            </w:tcMar>
          </w:tcPr>
          <w:p>
            <w:pPr>
              <w:spacing w:before="80" w:after="80"/>
            </w:pPr>
            <w:r>
              <w:rPr>
                <w:rFonts w:ascii="Times New Roman" w:hAnsi="Times New Roman"/>
                <w:sz w:val="18"/>
              </w:rPr>
              <w:t>V-Dem Dataset (v13) / Legal Archives</w:t>
            </w:r>
          </w:p>
        </w:tc>
      </w:tr>
      <w:tr>
        <w:tc>
          <w:tcPr>
            <w:tcW w:type="dxa" w:w="2340"/>
            <w:shd w:fill="FFFFFF"/>
            <w:tcMar>
              <w:top w:w="80" w:type="dxa"/>
              <w:bottom w:w="80" w:type="dxa"/>
              <w:left w:w="100" w:type="dxa"/>
              <w:right w:w="100" w:type="dxa"/>
            </w:tcMar>
          </w:tcPr>
          <w:p>
            <w:pPr>
              <w:spacing w:before="80" w:after="80"/>
            </w:pPr>
            <w:r>
              <w:rPr>
                <w:rFonts w:ascii="Times New Roman" w:hAnsi="Times New Roman"/>
                <w:sz w:val="18"/>
              </w:rPr>
              <w:t>Independent (IV1)</w:t>
            </w:r>
          </w:p>
        </w:tc>
        <w:tc>
          <w:tcPr>
            <w:tcW w:type="dxa" w:w="2340"/>
            <w:shd w:fill="FFFFFF"/>
            <w:tcMar>
              <w:top w:w="80" w:type="dxa"/>
              <w:bottom w:w="80" w:type="dxa"/>
              <w:left w:w="100" w:type="dxa"/>
              <w:right w:w="100" w:type="dxa"/>
            </w:tcMar>
          </w:tcPr>
          <w:p>
            <w:pPr>
              <w:spacing w:before="80" w:after="80"/>
            </w:pPr>
            <w:r>
              <w:rPr>
                <w:rFonts w:ascii="Times New Roman" w:hAnsi="Times New Roman"/>
                <w:sz w:val="18"/>
              </w:rPr>
              <w:t>Executive Aggrandizement</w:t>
            </w:r>
          </w:p>
        </w:tc>
        <w:tc>
          <w:tcPr>
            <w:tcW w:type="dxa" w:w="2340"/>
            <w:shd w:fill="FFFFFF"/>
            <w:tcMar>
              <w:top w:w="80" w:type="dxa"/>
              <w:bottom w:w="80" w:type="dxa"/>
              <w:left w:w="100" w:type="dxa"/>
              <w:right w:w="100" w:type="dxa"/>
            </w:tcMar>
          </w:tcPr>
          <w:p>
            <w:pPr>
              <w:spacing w:before="80" w:after="80"/>
            </w:pPr>
            <w:r>
              <w:rPr>
                <w:rFonts w:ascii="Times New Roman" w:hAnsi="Times New Roman"/>
                <w:sz w:val="18"/>
              </w:rPr>
              <w:t>Frequency of emergency decrees overriding legislative consensus</w:t>
            </w:r>
          </w:p>
        </w:tc>
        <w:tc>
          <w:tcPr>
            <w:tcW w:type="dxa" w:w="2340"/>
            <w:shd w:fill="FFFFFF"/>
            <w:tcMar>
              <w:top w:w="80" w:type="dxa"/>
              <w:bottom w:w="80" w:type="dxa"/>
              <w:left w:w="100" w:type="dxa"/>
              <w:right w:w="100" w:type="dxa"/>
            </w:tcMar>
          </w:tcPr>
          <w:p>
            <w:pPr>
              <w:spacing w:before="80" w:after="80"/>
            </w:pPr>
            <w:r>
              <w:rPr>
                <w:rFonts w:ascii="Times New Roman" w:hAnsi="Times New Roman"/>
                <w:sz w:val="18"/>
              </w:rPr>
              <w:t>Parliamentary Gazette Reports</w:t>
            </w:r>
          </w:p>
        </w:tc>
      </w:tr>
      <w:tr>
        <w:tc>
          <w:tcPr>
            <w:tcW w:type="dxa" w:w="2340"/>
            <w:shd w:fill="F9FAFB"/>
            <w:tcMar>
              <w:top w:w="80" w:type="dxa"/>
              <w:bottom w:w="80" w:type="dxa"/>
              <w:left w:w="100" w:type="dxa"/>
              <w:right w:w="100" w:type="dxa"/>
            </w:tcMar>
          </w:tcPr>
          <w:p>
            <w:pPr>
              <w:spacing w:before="80" w:after="80"/>
            </w:pPr>
            <w:r>
              <w:rPr>
                <w:rFonts w:ascii="Times New Roman" w:hAnsi="Times New Roman"/>
                <w:sz w:val="18"/>
              </w:rPr>
              <w:t>Control (CV)</w:t>
            </w:r>
          </w:p>
        </w:tc>
        <w:tc>
          <w:tcPr>
            <w:tcW w:type="dxa" w:w="2340"/>
            <w:shd w:fill="F9FAFB"/>
            <w:tcMar>
              <w:top w:w="80" w:type="dxa"/>
              <w:bottom w:w="80" w:type="dxa"/>
              <w:left w:w="100" w:type="dxa"/>
              <w:right w:w="100" w:type="dxa"/>
            </w:tcMar>
          </w:tcPr>
          <w:p>
            <w:pPr>
              <w:spacing w:before="80" w:after="80"/>
            </w:pPr>
            <w:r>
              <w:rPr>
                <w:rFonts w:ascii="Times New Roman" w:hAnsi="Times New Roman"/>
                <w:sz w:val="18"/>
              </w:rPr>
              <w:t>Socioeconomic Stability</w:t>
            </w:r>
          </w:p>
        </w:tc>
        <w:tc>
          <w:tcPr>
            <w:tcW w:type="dxa" w:w="2340"/>
            <w:shd w:fill="F9FAFB"/>
            <w:tcMar>
              <w:top w:w="80" w:type="dxa"/>
              <w:bottom w:w="80" w:type="dxa"/>
              <w:left w:w="100" w:type="dxa"/>
              <w:right w:w="100" w:type="dxa"/>
            </w:tcMar>
          </w:tcPr>
          <w:p>
            <w:pPr>
              <w:spacing w:before="80" w:after="80"/>
            </w:pPr>
            <w:r>
              <w:rPr>
                <w:rFonts w:ascii="Times New Roman" w:hAnsi="Times New Roman"/>
                <w:sz w:val="18"/>
              </w:rPr>
              <w:t>Annual GDP growth rate &amp; inflation volatility index</w:t>
            </w:r>
          </w:p>
        </w:tc>
        <w:tc>
          <w:tcPr>
            <w:tcW w:type="dxa" w:w="2340"/>
            <w:shd w:fill="F9FAFB"/>
            <w:tcMar>
              <w:top w:w="80" w:type="dxa"/>
              <w:bottom w:w="80" w:type="dxa"/>
              <w:left w:w="100" w:type="dxa"/>
              <w:right w:w="100" w:type="dxa"/>
            </w:tcMar>
          </w:tcPr>
          <w:p>
            <w:pPr>
              <w:spacing w:before="80" w:after="80"/>
            </w:pPr>
            <w:r>
              <w:rPr>
                <w:rFonts w:ascii="Times New Roman" w:hAnsi="Times New Roman"/>
                <w:sz w:val="18"/>
              </w:rPr>
              <w:t>World Bank / National Statistics</w:t>
            </w:r>
          </w:p>
        </w:tc>
      </w:tr>
    </w:tbl>
    <w:p>
      <w:pPr>
        <w:spacing w:after="120"/>
      </w:pPr>
    </w:p>
    <w:p>
      <w:pPr>
        <w:keepNext/>
        <w:spacing w:before="320" w:after="120"/>
      </w:pPr>
      <w:r>
        <w:rPr>
          <w:rFonts w:ascii="Times New Roman" w:hAnsi="Times New Roman"/>
          <w:b/>
          <w:color w:val="003366"/>
          <w:sz w:val="26"/>
        </w:rPr>
        <w:t>4. EMPIRICAL FINDINGS AND ANALYSIS</w:t>
      </w:r>
    </w:p>
    <w:p>
      <w:pPr>
        <w:spacing w:before="0" w:after="120" w:line="276" w:lineRule="auto"/>
      </w:pPr>
      <w:r>
        <w:rPr>
          <w:rFonts w:ascii="Times New Roman" w:hAnsi="Times New Roman"/>
          <w:sz w:val="22"/>
        </w:rPr>
        <w:t>In this section, empirical results must be presented logically and objectively, supported by quantitative statistical tables, qualitative process tracing narrative, or structural equations.</w:t>
      </w:r>
    </w:p>
    <w:p>
      <w:pPr>
        <w:keepNext/>
        <w:spacing w:before="240" w:after="80"/>
      </w:pPr>
      <w:r>
        <w:rPr>
          <w:rFonts w:ascii="Times New Roman" w:hAnsi="Times New Roman"/>
          <w:b/>
          <w:color w:val="333333"/>
          <w:sz w:val="23"/>
        </w:rPr>
        <w:t>4.1. Comparative Quantitative Evaluation</w:t>
      </w:r>
    </w:p>
    <w:p>
      <w:pPr>
        <w:spacing w:before="0" w:after="120" w:line="276" w:lineRule="auto"/>
        <w:ind w:firstLine="360"/>
      </w:pPr>
      <w:r>
        <w:rPr>
          <w:rFonts w:ascii="Times New Roman" w:hAnsi="Times New Roman"/>
          <w:sz w:val="22"/>
        </w:rPr>
        <w:t>Empirical testing reveals strong statistical support for Hypothesis 1. Model estimation indicates that higher judicial independence scores robustly attenuate executive encroachment (p &lt; 0.01). Institutional veto power significantly decreases the probability of successful decree implementation.</w:t>
      </w:r>
    </w:p>
    <w:p>
      <w:pPr>
        <w:keepNext/>
        <w:spacing w:before="240" w:after="80"/>
      </w:pPr>
      <w:r>
        <w:rPr>
          <w:rFonts w:ascii="Times New Roman" w:hAnsi="Times New Roman"/>
          <w:b/>
          <w:color w:val="333333"/>
          <w:sz w:val="23"/>
        </w:rPr>
        <w:t>4.2. Qualitative Process Tracing Across Cases</w:t>
      </w:r>
    </w:p>
    <w:p>
      <w:pPr>
        <w:spacing w:before="0" w:after="120" w:line="276" w:lineRule="auto"/>
        <w:ind w:firstLine="360"/>
      </w:pPr>
      <w:r>
        <w:rPr>
          <w:rFonts w:ascii="Times New Roman" w:hAnsi="Times New Roman"/>
          <w:sz w:val="22"/>
        </w:rPr>
        <w:t>Qualitative evidence further elucidates the causal chain. Interview records indicate that when civil society mobilization occurs early in executive tenure, ruling elites face elevated political costs, forcing legislative compromises and limiting judicial capture.</w:t>
      </w:r>
    </w:p>
    <w:p>
      <w:pPr>
        <w:keepNext/>
        <w:spacing w:before="320" w:after="120"/>
      </w:pPr>
      <w:r>
        <w:rPr>
          <w:rFonts w:ascii="Times New Roman" w:hAnsi="Times New Roman"/>
          <w:b/>
          <w:color w:val="003366"/>
          <w:sz w:val="26"/>
        </w:rPr>
        <w:t>5. DISCUSSION</w:t>
      </w:r>
    </w:p>
    <w:p>
      <w:pPr>
        <w:spacing w:before="0" w:after="120" w:line="276" w:lineRule="auto"/>
      </w:pPr>
      <w:r>
        <w:rPr>
          <w:rFonts w:ascii="Times New Roman" w:hAnsi="Times New Roman"/>
          <w:sz w:val="22"/>
        </w:rPr>
        <w:t>The discussion section connects empirical findings back to theoretical debates introduced in Section 2, evaluating implications, addressing alternative interpretations, and noting study limitations.</w:t>
      </w:r>
    </w:p>
    <w:p>
      <w:pPr>
        <w:spacing w:before="0" w:after="120" w:line="276" w:lineRule="auto"/>
        <w:ind w:firstLine="360"/>
      </w:pPr>
      <w:r>
        <w:rPr>
          <w:rFonts w:ascii="Times New Roman" w:hAnsi="Times New Roman"/>
          <w:sz w:val="22"/>
        </w:rPr>
        <w:t>Our findings align with structuralist approaches to institutional survival while offering critical nuances regarding informal coalition dynamics. Contrary to earlier assumptions that formal constitutional design alone prevents authoritarian drift, our analysis demonstrates that institutional mechanics are contingent upon external political pressure and elite alignment.</w:t>
      </w:r>
    </w:p>
    <w:p>
      <w:pPr>
        <w:spacing w:before="0" w:after="120" w:line="276" w:lineRule="auto"/>
        <w:ind w:firstLine="360"/>
      </w:pPr>
      <w:r>
        <w:rPr>
          <w:rFonts w:ascii="Times New Roman" w:hAnsi="Times New Roman"/>
          <w:sz w:val="22"/>
        </w:rPr>
        <w:t>Alternative explanations emphasizing purely macroeconomic shocks (e.g., inflation spikes) were tested but showed lower explanatory power relative to political coalition variables. Nevertheless, authors must acknowledge limitations: sample sizing constraints in specific sub-national units require cautious generalization to non-parliamentary systems.</w:t>
      </w:r>
    </w:p>
    <w:p>
      <w:pPr>
        <w:keepNext/>
        <w:spacing w:before="320" w:after="120"/>
      </w:pPr>
      <w:r>
        <w:rPr>
          <w:rFonts w:ascii="Times New Roman" w:hAnsi="Times New Roman"/>
          <w:b/>
          <w:color w:val="003366"/>
          <w:sz w:val="26"/>
        </w:rPr>
        <w:t>6. CONCLUSION AND POLICY IMPLICATIONS</w:t>
      </w:r>
    </w:p>
    <w:p>
      <w:pPr>
        <w:spacing w:before="0" w:after="120" w:line="276" w:lineRule="auto"/>
      </w:pPr>
      <w:r>
        <w:rPr>
          <w:rFonts w:ascii="Times New Roman" w:hAnsi="Times New Roman"/>
          <w:sz w:val="22"/>
        </w:rPr>
        <w:t>The conclusion summarizes primary findings without verbatim repetition, emphasizing overarching contributions to political science and presenting practical recommendations.</w:t>
      </w:r>
    </w:p>
    <w:p>
      <w:pPr>
        <w:spacing w:before="0" w:after="120" w:line="276" w:lineRule="auto"/>
        <w:ind w:firstLine="360"/>
      </w:pPr>
      <w:r>
        <w:rPr>
          <w:rFonts w:ascii="Times New Roman" w:hAnsi="Times New Roman"/>
          <w:sz w:val="22"/>
        </w:rPr>
        <w:t>In summary, this study demonstrates that institutional resilience against executive aggrandizement requires both formal legal authority and sustained civic mobilization. For international democracy-support organizations and policymakers, interventions must prioritize building multi-stakeholder civil networks alongside traditional constitutional drafting efforts.</w:t>
      </w:r>
    </w:p>
    <w:p>
      <w:pPr>
        <w:spacing w:before="0" w:after="120" w:line="276" w:lineRule="auto"/>
        <w:ind w:firstLine="360"/>
      </w:pPr>
      <w:r>
        <w:rPr>
          <w:rFonts w:ascii="Times New Roman" w:hAnsi="Times New Roman"/>
          <w:sz w:val="22"/>
        </w:rPr>
        <w:t>Future research should extend this comparative framework to sub-Saharan Africa and post-communist Eurasia to test whether these causal mechanisms hold across distinct socio-political environments.</w:t>
      </w:r>
    </w:p>
    <w:p>
      <w:pPr>
        <w:keepNext/>
        <w:spacing w:before="320" w:after="120"/>
      </w:pPr>
      <w:r>
        <w:rPr>
          <w:rFonts w:ascii="Times New Roman" w:hAnsi="Times New Roman"/>
          <w:b/>
          <w:color w:val="003366"/>
          <w:sz w:val="26"/>
        </w:rPr>
        <w:t>ACKNOWLEDGEMENTS</w:t>
      </w:r>
    </w:p>
    <w:p>
      <w:pPr>
        <w:spacing w:before="0" w:after="120" w:line="276" w:lineRule="auto"/>
      </w:pPr>
      <w:r>
        <w:rPr>
          <w:rFonts w:ascii="Times New Roman" w:hAnsi="Times New Roman"/>
          <w:sz w:val="22"/>
        </w:rPr>
        <w:t>The authors express gratitude to the reviewers and editors of the journal for constructive commentary. This research was supported by the National Social Science Research Grant (Grant No. XXXXX-2025).</w:t>
      </w:r>
    </w:p>
    <w:p>
      <w:pPr>
        <w:keepNext/>
        <w:spacing w:before="320" w:after="120"/>
      </w:pPr>
      <w:r>
        <w:rPr>
          <w:rFonts w:ascii="Times New Roman" w:hAnsi="Times New Roman"/>
          <w:b/>
          <w:color w:val="003366"/>
          <w:sz w:val="26"/>
        </w:rPr>
        <w:t>REFERENCES</w:t>
      </w:r>
    </w:p>
    <w:p>
      <w:pPr>
        <w:spacing w:before="0" w:after="120" w:line="276" w:lineRule="auto"/>
      </w:pPr>
      <w:r>
        <w:rPr>
          <w:rFonts w:ascii="Times New Roman" w:hAnsi="Times New Roman"/>
          <w:sz w:val="22"/>
        </w:rPr>
        <w:t>Authors must follow Chicago Manual of Style (Author-Date) or APA 7th Edition as required by the target journal. Ensure all in-text citations are accurately reflected here.</w:t>
      </w:r>
    </w:p>
    <w:p>
      <w:pPr>
        <w:spacing w:before="0" w:after="80"/>
        <w:ind w:left="576" w:hanging="576"/>
      </w:pPr>
      <w:r>
        <w:rPr>
          <w:rFonts w:ascii="Times New Roman" w:hAnsi="Times New Roman"/>
          <w:sz w:val="20"/>
        </w:rPr>
        <w:t>Bermeo, Nancy. 2016. "On Democratic Backsliding." Journal of Democracy 27 (1): 5–19. https://doi.org/10.1353/jod.2016.0012.</w:t>
      </w:r>
    </w:p>
    <w:p>
      <w:pPr>
        <w:spacing w:before="0" w:after="80"/>
        <w:ind w:left="576" w:hanging="576"/>
      </w:pPr>
      <w:r>
        <w:rPr>
          <w:rFonts w:ascii="Times New Roman" w:hAnsi="Times New Roman"/>
          <w:sz w:val="20"/>
        </w:rPr>
        <w:t>Diamond, Larry. 2021. "Democratic Regression in Comparative Perspective." Comparative Politics 53 (3): 387–411.</w:t>
      </w:r>
    </w:p>
    <w:p>
      <w:pPr>
        <w:spacing w:before="0" w:after="80"/>
        <w:ind w:left="576" w:hanging="576"/>
      </w:pPr>
      <w:r>
        <w:rPr>
          <w:rFonts w:ascii="Times New Roman" w:hAnsi="Times New Roman"/>
          <w:sz w:val="20"/>
        </w:rPr>
        <w:t>Levitsky, Steven, and Daniel Ziblatt. 2018. How Democracies Die. New York: Crown Publishing Group.</w:t>
      </w:r>
    </w:p>
    <w:p>
      <w:pPr>
        <w:spacing w:before="0" w:after="80"/>
        <w:ind w:left="576" w:hanging="576"/>
      </w:pPr>
      <w:r>
        <w:rPr>
          <w:rFonts w:ascii="Times New Roman" w:hAnsi="Times New Roman"/>
          <w:sz w:val="20"/>
        </w:rPr>
        <w:t>Norris, Pippa, and Ronald Inglehart. 2019. Cultural Backlash: Trump, Brexit, and Authoritarian Populism. Cambridge: Cambridge University Press.</w:t>
      </w:r>
    </w:p>
    <w:p>
      <w:pPr>
        <w:spacing w:before="0" w:after="80"/>
        <w:ind w:left="576" w:hanging="576"/>
      </w:pPr>
      <w:r>
        <w:rPr>
          <w:rFonts w:ascii="Times New Roman" w:hAnsi="Times New Roman"/>
          <w:sz w:val="20"/>
        </w:rPr>
        <w:t>Slater, Dan, and Joseph Wong. 2022. From Development to Democracy: The Transformations of Modern Asia. Princeton: Princeton University Press.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222222"/>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